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78" w:lineRule="exact"/>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w:t>
      </w:r>
    </w:p>
    <w:p>
      <w:pPr>
        <w:spacing w:after="120" w:afterLines="50" w:line="57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泸县食品小作坊禁止生产加工食品品种目录</w:t>
      </w:r>
    </w:p>
    <w:tbl>
      <w:tblPr>
        <w:tblStyle w:val="6"/>
        <w:tblW w:w="15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514"/>
        <w:gridCol w:w="768"/>
        <w:gridCol w:w="1584"/>
        <w:gridCol w:w="7188"/>
        <w:gridCol w:w="1848"/>
        <w:gridCol w:w="1956"/>
      </w:tblGrid>
      <w:tr>
        <w:tblPrEx>
          <w:tblLayout w:type="fixed"/>
          <w:tblCellMar>
            <w:top w:w="0" w:type="dxa"/>
            <w:left w:w="108" w:type="dxa"/>
            <w:bottom w:w="0" w:type="dxa"/>
            <w:right w:w="108" w:type="dxa"/>
          </w:tblCellMar>
        </w:tblPrEx>
        <w:trPr>
          <w:cantSplit/>
          <w:trHeight w:val="892" w:hRule="atLeast"/>
          <w:tblHeader/>
          <w:jc w:val="center"/>
        </w:trPr>
        <w:tc>
          <w:tcPr>
            <w:tcW w:w="610"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序号</w:t>
            </w:r>
          </w:p>
        </w:tc>
        <w:tc>
          <w:tcPr>
            <w:tcW w:w="151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食品、食品添加剂类别</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类别编号</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类别名称</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lang w:eastAsia="zh-CN"/>
              </w:rPr>
              <w:t>禁止</w:t>
            </w:r>
            <w:r>
              <w:rPr>
                <w:rFonts w:hint="default" w:ascii="Times New Roman" w:hAnsi="Times New Roman" w:eastAsia="仿宋_GB2312" w:cs="Times New Roman"/>
                <w:b/>
                <w:bCs/>
                <w:sz w:val="24"/>
              </w:rPr>
              <w:t>品种明细</w:t>
            </w:r>
          </w:p>
        </w:tc>
        <w:tc>
          <w:tcPr>
            <w:tcW w:w="184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禁止主要理由</w:t>
            </w:r>
          </w:p>
        </w:tc>
        <w:tc>
          <w:tcPr>
            <w:tcW w:w="1956"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不在禁止之列的食品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3"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粮食加工品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0101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小麦粉</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1.通用：特制一等小麦粉、特制二等小麦粉、标准粉、普通粉、高筋小麦粉、低筋小麦粉、全麦粉、其他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专用：营养强化小麦粉、面包用小麦粉、面条用小麦粉、饺子用小麦粉、馒头用小麦粉、发酵饼干用小麦粉、酥性饼干用小麦粉、蛋糕用小麦粉、糕点用小麦粉、自发小麦粉、专用全麦粉、小麦胚（胚片、胚粉）、其他</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粮食类属重点监管产品，部分生产条件要求较高，食品安全风险较高，且大米加工中存在很大的粉尘安全隐患</w:t>
            </w:r>
            <w:r>
              <w:rPr>
                <w:rFonts w:hint="default" w:ascii="Times New Roman" w:hAnsi="Times New Roman" w:eastAsia="仿宋_GB2312" w:cs="Times New Roman"/>
                <w:sz w:val="24"/>
              </w:rPr>
              <w:t>。</w:t>
            </w:r>
          </w:p>
        </w:tc>
        <w:tc>
          <w:tcPr>
            <w:tcW w:w="1956" w:type="dxa"/>
            <w:vMerge w:val="restart"/>
            <w:vAlign w:val="center"/>
          </w:tcPr>
          <w:p>
            <w:pPr>
              <w:keepNext w:val="0"/>
              <w:keepLines w:val="0"/>
              <w:pageBreakBefore w:val="0"/>
              <w:numPr>
                <w:ilvl w:val="0"/>
                <w:numId w:val="1"/>
              </w:numPr>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挂面（</w:t>
            </w:r>
            <w:r>
              <w:rPr>
                <w:rFonts w:hint="default" w:ascii="Times New Roman" w:hAnsi="Times New Roman" w:eastAsia="仿宋_GB2312" w:cs="Times New Roman"/>
                <w:sz w:val="24"/>
              </w:rPr>
              <w:t>普通挂面、手工面</w:t>
            </w:r>
            <w:r>
              <w:rPr>
                <w:rFonts w:hint="default" w:ascii="Times New Roman" w:hAnsi="Times New Roman" w:eastAsia="仿宋_GB2312" w:cs="Times New Roman"/>
                <w:sz w:val="24"/>
                <w:lang w:eastAsia="zh-CN"/>
              </w:rPr>
              <w:t>）</w:t>
            </w:r>
          </w:p>
          <w:p>
            <w:pPr>
              <w:keepNext w:val="0"/>
              <w:keepLines w:val="0"/>
              <w:pageBreakBefore w:val="0"/>
              <w:numPr>
                <w:ilvl w:val="0"/>
                <w:numId w:val="1"/>
              </w:numPr>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其他粮食加工品</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谷物碾磨加工品</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谷物粉类制成品(生湿面制品、生干面制品、米粉制品）</w:t>
            </w:r>
            <w:r>
              <w:rPr>
                <w:rFonts w:hint="default" w:ascii="Times New Roman" w:hAnsi="Times New Roman" w:eastAsia="仿宋_GB2312"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0102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大米</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大米、糙米类产品（糙米、留胚米等）、特殊大米（免淘米、蒸谷米、发芽糙米等）、其他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0103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挂面</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花色挂面</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0104</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其他粮食加工品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谷物加工品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高粱米、黍米、稷米、小米、黑米、紫米、红线米、小麦米、大麦米、裸大麦米、莜麦米(燕麦米)、荞麦米、薏仁米、八宝米类、混合杂粮类、其他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食用油、油脂及其制品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0201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食用植物油</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葵花籽油、棉籽油、亚麻籽油、玉米油、米糠油、棕榈油、橄榄油、食用植物调和油、其他</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生产条件要求较高，食品安全风险高。</w:t>
            </w:r>
          </w:p>
        </w:tc>
        <w:tc>
          <w:tcPr>
            <w:tcW w:w="1956" w:type="dxa"/>
            <w:vMerge w:val="restart"/>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菜籽油、大豆油、花生油、油茶籽油</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芝麻油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0202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食用油脂制品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食用氢化油、人造奶油（人造黄油）、起酥油、代可可脂、植脂奶油、粉末油脂、植脂末、其他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0203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食用动物油脂</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食用动物油脂(猪油、牛油、羊油、鸡油、鸭油、鹅油、骨髓油、鱼油、其他)</w:t>
            </w:r>
          </w:p>
        </w:tc>
        <w:tc>
          <w:tcPr>
            <w:tcW w:w="184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原料不可控，“地沟油”等高食品安全风险存在。</w:t>
            </w: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lang w:eastAsia="zh-CN"/>
              </w:rPr>
            </w:pPr>
            <w:r>
              <w:rPr>
                <w:rFonts w:hint="default" w:ascii="Times New Roman" w:hAnsi="Times New Roman" w:eastAsia="仿宋_GB2312" w:cs="Times New Roman"/>
                <w:bCs/>
                <w:sz w:val="24"/>
                <w:lang w:eastAsia="zh-CN"/>
              </w:rPr>
              <w:t>调味品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0301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酱油</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酱油</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生产条件要求较高，原料来源难以追溯。食品安全风险高。</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highlight w:val="none"/>
              </w:rPr>
              <w:t>传统工艺</w:t>
            </w:r>
            <w:r>
              <w:rPr>
                <w:rFonts w:hint="default" w:ascii="Times New Roman" w:hAnsi="Times New Roman" w:eastAsia="仿宋_GB2312" w:cs="Times New Roman"/>
                <w:sz w:val="24"/>
                <w:highlight w:val="none"/>
                <w:lang w:eastAsia="zh-CN"/>
              </w:rPr>
              <w:t>制作</w:t>
            </w:r>
            <w:r>
              <w:rPr>
                <w:rFonts w:hint="default" w:ascii="Times New Roman" w:hAnsi="Times New Roman" w:eastAsia="仿宋_GB2312" w:cs="Times New Roman"/>
                <w:sz w:val="24"/>
                <w:highlight w:val="none"/>
              </w:rPr>
              <w:t>的</w:t>
            </w:r>
            <w:r>
              <w:rPr>
                <w:rFonts w:hint="default" w:ascii="Times New Roman" w:hAnsi="Times New Roman" w:eastAsia="仿宋_GB2312" w:cs="Times New Roman"/>
                <w:sz w:val="24"/>
              </w:rPr>
              <w:t>豆瓣酱、干辣椒面、干花椒面、干胡椒面。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0302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食醋</w:t>
            </w:r>
          </w:p>
        </w:tc>
        <w:tc>
          <w:tcPr>
            <w:tcW w:w="7188" w:type="dxa"/>
            <w:vAlign w:val="center"/>
          </w:tcPr>
          <w:p>
            <w:pPr>
              <w:keepNext w:val="0"/>
              <w:keepLines w:val="0"/>
              <w:pageBreakBefore w:val="0"/>
              <w:numPr>
                <w:ilvl w:val="0"/>
                <w:numId w:val="2"/>
              </w:numPr>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食醋</w:t>
            </w:r>
          </w:p>
          <w:p>
            <w:pPr>
              <w:keepNext w:val="0"/>
              <w:keepLines w:val="0"/>
              <w:pageBreakBefore w:val="0"/>
              <w:numPr>
                <w:ilvl w:val="0"/>
                <w:numId w:val="2"/>
              </w:numPr>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甜醋</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lang w:eastAsia="zh-CN"/>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0303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味精</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1.谷氨酸钠(99%味精)</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2.加盐味精</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3.增鲜味精</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0304</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酱类</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稀甜面酱、甜面酱、大豆酱(黄酱)、蚕豆酱、大酱、其他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0305</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调味料</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1.液体调味料</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鸡汁调味料、牛肉汁调味料、烧烤汁、鲍鱼汁、香辛料调味汁、糟卤、调味料酒、液态复合调味料、其他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2.半固态(酱)调味料</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花生酱、芝麻酱、辣椒酱、番茄酱、风味酱、芥末酱、咖喱卤、油辣椒、火锅蘸料、火锅底料、排骨酱、叉烧酱、香辛料酱(泥)、复合调味酱、其他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3.固态调味料</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鸡精调味料、鸡粉调味料、畜(禽)粉调味料、风味汤料、酱油粉、食醋粉、酱粉、咖喱粉、香辛料粉、复合调味粉、其他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4.食用调味油</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香辛料调味油、复合调味油、其他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5.水产调味料</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蚝油、鱼露、虾酱、鱼子酱、虾油、其他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0306</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食盐</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1.食用盐：普通食用盐（加碘）、普通食用盐（未加碘）、低钠食用盐（加碘）、低钠食用盐（未加碘）、风味食用盐（加碘）、风味食用盐（未加碘）、特殊工艺食用盐（加碘）、特殊工艺食用盐（未加碘）</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2.食品生产加工用盐</w:t>
            </w:r>
          </w:p>
        </w:tc>
        <w:tc>
          <w:tcPr>
            <w:tcW w:w="184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lang w:eastAsia="zh-CN"/>
              </w:rPr>
            </w:pPr>
            <w:r>
              <w:rPr>
                <w:rFonts w:hint="default" w:ascii="Times New Roman" w:hAnsi="Times New Roman" w:eastAsia="仿宋_GB2312" w:cs="Times New Roman"/>
                <w:bCs/>
                <w:sz w:val="24"/>
                <w:lang w:eastAsia="zh-CN"/>
              </w:rPr>
              <w:t>我县不是盐产地</w:t>
            </w:r>
          </w:p>
        </w:tc>
        <w:tc>
          <w:tcPr>
            <w:tcW w:w="1956"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肉制品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0401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热加工熟肉制品</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1.肉灌制品：灌肠类、西式火腿、其他</w:t>
            </w:r>
          </w:p>
          <w:p>
            <w:pPr>
              <w:keepNext w:val="0"/>
              <w:keepLines w:val="0"/>
              <w:widowControl/>
              <w:suppressLineNumbers w:val="0"/>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熏烧烤肉制品</w:t>
            </w:r>
          </w:p>
          <w:p>
            <w:pPr>
              <w:keepNext w:val="0"/>
              <w:keepLines w:val="0"/>
              <w:widowControl/>
              <w:suppressLineNumbers w:val="0"/>
              <w:jc w:val="left"/>
              <w:textAlignment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3.油炸肉制品</w:t>
            </w:r>
          </w:p>
          <w:p>
            <w:pPr>
              <w:keepNext w:val="0"/>
              <w:keepLines w:val="0"/>
              <w:widowControl/>
              <w:suppressLineNumbers w:val="0"/>
              <w:jc w:val="left"/>
              <w:textAlignment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4.熟肉干制品：肉松类、肉干类、肉脯、其他</w:t>
            </w:r>
          </w:p>
          <w:p>
            <w:pPr>
              <w:keepNext w:val="0"/>
              <w:keepLines w:val="0"/>
              <w:widowControl/>
              <w:suppressLineNumbers w:val="0"/>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5.其他熟肉制品</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原料来源难以追溯，食品安全风险较高。</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eastAsia="zh-CN"/>
              </w:rPr>
              <w:t>热加工熟肉制品</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酱卤肉制品（酱卤肉类、糟肉类、白煮类、其他）</w:t>
            </w:r>
            <w:r>
              <w:rPr>
                <w:rFonts w:hint="default" w:ascii="Times New Roman" w:hAnsi="Times New Roman" w:eastAsia="仿宋_GB2312" w:cs="Times New Roman"/>
                <w:sz w:val="24"/>
                <w:lang w:val="en-US" w:eastAsia="zh-CN"/>
              </w:rPr>
              <w:t>]</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腌腊肉制品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肉灌制品、腊肉制品、火腿制品</w:t>
            </w:r>
            <w:r>
              <w:rPr>
                <w:rFonts w:hint="default" w:ascii="Times New Roman" w:hAnsi="Times New Roman" w:eastAsia="仿宋_GB2312" w:cs="Times New Roman"/>
                <w:sz w:val="24"/>
                <w:lang w:eastAsia="zh-CN"/>
              </w:rPr>
              <w:t>、其他肉制品）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0402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发酵肉制品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1.发酵灌制品</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2.发酵火腿制品</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0403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预制调理肉制品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1.冷藏预制调理肉类</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2.冷冻预制调理肉类</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0404</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腌腊肉制品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乳制品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0501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液体乳</w:t>
            </w:r>
          </w:p>
        </w:tc>
        <w:tc>
          <w:tcPr>
            <w:tcW w:w="7188"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 xml:space="preserve">巴氏杀菌乳 </w:t>
            </w:r>
          </w:p>
          <w:p>
            <w:pPr>
              <w:keepNext w:val="0"/>
              <w:keepLines w:val="0"/>
              <w:pageBreakBefore w:val="0"/>
              <w:numPr>
                <w:ilvl w:val="0"/>
                <w:numId w:val="0"/>
              </w:numPr>
              <w:kinsoku/>
              <w:wordWrap/>
              <w:overflowPunct/>
              <w:topLinePunct w:val="0"/>
              <w:autoSpaceDE/>
              <w:autoSpaceDN/>
              <w:bidi w:val="0"/>
              <w:adjustRightInd w:val="0"/>
              <w:snapToGrid w:val="0"/>
              <w:spacing w:before="16" w:beforeLines="7" w:after="16" w:afterLines="7" w:line="400" w:lineRule="exact"/>
              <w:ind w:leftChars="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高温杀菌乳</w:t>
            </w:r>
          </w:p>
          <w:p>
            <w:pPr>
              <w:keepNext w:val="0"/>
              <w:keepLines w:val="0"/>
              <w:pageBreakBefore w:val="0"/>
              <w:numPr>
                <w:ilvl w:val="0"/>
                <w:numId w:val="0"/>
              </w:numPr>
              <w:kinsoku/>
              <w:wordWrap/>
              <w:overflowPunct/>
              <w:topLinePunct w:val="0"/>
              <w:autoSpaceDE/>
              <w:autoSpaceDN/>
              <w:bidi w:val="0"/>
              <w:adjustRightInd w:val="0"/>
              <w:snapToGrid w:val="0"/>
              <w:spacing w:before="16" w:beforeLines="7" w:after="16" w:afterLines="7" w:line="400" w:lineRule="exact"/>
              <w:ind w:leftChars="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.调制乳</w:t>
            </w:r>
          </w:p>
          <w:p>
            <w:pPr>
              <w:keepNext w:val="0"/>
              <w:keepLines w:val="0"/>
              <w:pageBreakBefore w:val="0"/>
              <w:numPr>
                <w:ilvl w:val="0"/>
                <w:numId w:val="0"/>
              </w:numPr>
              <w:kinsoku/>
              <w:wordWrap/>
              <w:overflowPunct/>
              <w:topLinePunct w:val="0"/>
              <w:autoSpaceDE/>
              <w:autoSpaceDN/>
              <w:bidi w:val="0"/>
              <w:adjustRightInd w:val="0"/>
              <w:snapToGrid w:val="0"/>
              <w:spacing w:before="16" w:beforeLines="7" w:after="16" w:afterLines="7" w:line="400" w:lineRule="exact"/>
              <w:ind w:leftChars="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灭菌乳</w:t>
            </w:r>
          </w:p>
          <w:p>
            <w:pPr>
              <w:keepNext w:val="0"/>
              <w:keepLines w:val="0"/>
              <w:pageBreakBefore w:val="0"/>
              <w:numPr>
                <w:ilvl w:val="0"/>
                <w:numId w:val="0"/>
              </w:numPr>
              <w:kinsoku/>
              <w:wordWrap/>
              <w:overflowPunct/>
              <w:topLinePunct w:val="0"/>
              <w:autoSpaceDE/>
              <w:autoSpaceDN/>
              <w:bidi w:val="0"/>
              <w:adjustRightInd w:val="0"/>
              <w:snapToGrid w:val="0"/>
              <w:spacing w:before="16" w:beforeLines="7" w:after="16" w:afterLines="7" w:line="400" w:lineRule="exact"/>
              <w:ind w:leftChars="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.发酵乳</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《四川省食品小作坊、小经营店及摊贩管理条例》禁止。</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0502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乳粉</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1.全脂乳粉</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2.脱脂乳粉</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3.部分脱脂乳粉</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4.调制乳粉</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.乳清粉</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0503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其他乳制品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1.炼乳</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2.奶油</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3.稀奶油</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4.无水奶油</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5.干酪</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6.再制干酪</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7.特色乳制品</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8.浓缩乳</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饮料</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0601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瓶(桶)装饮用水</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 xml:space="preserve">1.饮用天然矿泉水 </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2.饮用纯净水</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3.饮用天然泉水</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 xml:space="preserve">4.饮用天然水 </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5.其他饮用水</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《四川省食品小作坊、小经营店及摊贩管理条例》禁止。</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0602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碳酸饮料(汽水)</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果汁型碳酸饮料、果味型碳酸饮料、可乐型碳酸饮料、其他型碳酸饮料</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4"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0603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茶(类)饮料</w:t>
            </w:r>
          </w:p>
        </w:tc>
        <w:tc>
          <w:tcPr>
            <w:tcW w:w="7188" w:type="dxa"/>
            <w:vAlign w:val="center"/>
          </w:tcPr>
          <w:p>
            <w:pPr>
              <w:keepNext w:val="0"/>
              <w:keepLines w:val="0"/>
              <w:pageBreakBefore w:val="0"/>
              <w:numPr>
                <w:ilvl w:val="0"/>
                <w:numId w:val="3"/>
              </w:numPr>
              <w:kinsoku/>
              <w:wordWrap/>
              <w:overflowPunct/>
              <w:topLinePunct w:val="0"/>
              <w:autoSpaceDE/>
              <w:autoSpaceDN/>
              <w:bidi w:val="0"/>
              <w:spacing w:line="400" w:lineRule="exac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原茶汁</w:t>
            </w:r>
            <w:r>
              <w:rPr>
                <w:rFonts w:hint="default" w:ascii="Times New Roman" w:hAnsi="Times New Roman" w:eastAsia="仿宋_GB2312" w:cs="Times New Roman"/>
                <w:sz w:val="24"/>
                <w:lang w:eastAsia="zh-CN"/>
              </w:rPr>
              <w:t>：茶汤</w:t>
            </w:r>
            <w:r>
              <w:rPr>
                <w:rFonts w:hint="default" w:ascii="Times New Roman" w:hAnsi="Times New Roman" w:eastAsia="仿宋_GB2312" w:cs="Times New Roman"/>
                <w:sz w:val="24"/>
                <w:lang w:val="en-US" w:eastAsia="zh-CN"/>
              </w:rPr>
              <w:t>/纯茶饮料</w:t>
            </w:r>
          </w:p>
          <w:p>
            <w:pPr>
              <w:keepNext w:val="0"/>
              <w:keepLines w:val="0"/>
              <w:pageBreakBefore w:val="0"/>
              <w:numPr>
                <w:ilvl w:val="0"/>
                <w:numId w:val="0"/>
              </w:numPr>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2.茶浓缩液</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3.茶饮料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4.果汁茶饮料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5.奶茶饮料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6.复合茶饮料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7.混合茶饮料</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8.其他茶(类)饮料</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0604</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果蔬汁类及其饮料</w:t>
            </w:r>
          </w:p>
        </w:tc>
        <w:tc>
          <w:tcPr>
            <w:tcW w:w="7188"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果蔬汁（浆）：果汁、蔬菜汁、果浆、蔬菜浆、复合果蔬汁、复合果蔬浆、其他</w:t>
            </w:r>
          </w:p>
          <w:p>
            <w:pPr>
              <w:keepNext w:val="0"/>
              <w:keepLines w:val="0"/>
              <w:pageBreakBefore w:val="0"/>
              <w:numPr>
                <w:ilvl w:val="0"/>
                <w:numId w:val="0"/>
              </w:numPr>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2.浓缩果蔬汁(浆)</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3.果蔬汁(浆)类饮料</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果蔬汁饮料、果肉饮料、果浆饮料、复合果蔬汁饮料、果蔬汁饮料浓浆、发酵果蔬汁饮料、水果饮料、其他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0605</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蛋白饮料</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1.含乳饮料</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2.植物蛋白饮料</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3.复合蛋白饮料</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0606</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固体饮料</w:t>
            </w:r>
          </w:p>
        </w:tc>
        <w:tc>
          <w:tcPr>
            <w:tcW w:w="7188" w:type="dxa"/>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1.风味固体饮料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2.蛋白固体饮料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3.果蔬固体饮料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4.茶固体饮料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5.咖啡固体饮料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6.可可粉固体饮料</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7.其他固体饮料</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植物固体饮料、谷物固体饮料、食用菌固体饮料、其他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0607</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其他饮料</w:t>
            </w:r>
          </w:p>
        </w:tc>
        <w:tc>
          <w:tcPr>
            <w:tcW w:w="7188" w:type="dxa"/>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1.咖啡(类)饮料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2.植物饮料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3.风味饮料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4.运动饮料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5.营养素饮料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6.能量饮料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7.电解质饮料</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8.饮料浓浆</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9.其他类饮料</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方便食品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0701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方便面</w:t>
            </w:r>
          </w:p>
        </w:tc>
        <w:tc>
          <w:tcPr>
            <w:tcW w:w="7188" w:type="dxa"/>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1.油炸方便面</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2.热风干燥方便面</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3.其他方便面</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生产设备、场地、生产过程控制等要求高，食品风险高。</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0702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其他方便食品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1.主食类</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方便米饭、方便粥、方便米粉、方便米线、方便粉丝、方便湿米粉、方便豆花、方便湿面、凉粉、其他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2.冲调类</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麦片、黑芝麻糊、红枣羹、油茶、即食谷物粉、其他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0703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调味面制品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调味面制品</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610"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151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饼干</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0801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饼干</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压缩饼干、威化饼干、水泡饼干、其他饼干</w:t>
            </w:r>
          </w:p>
        </w:tc>
        <w:tc>
          <w:tcPr>
            <w:tcW w:w="184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生产设备、场地、生产过程控制等要求高，食品风险高。</w:t>
            </w:r>
          </w:p>
        </w:tc>
        <w:tc>
          <w:tcPr>
            <w:tcW w:w="1956"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饼干（酥性饼干、韧性饼干、发酵饼干、曲奇饼干、夹心(注心)饼干、蛋圆饼干</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蛋卷、煎饼</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装饰饼干）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罐头</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0901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畜禽水产罐头</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火腿类罐头、肉类罐头、牛肉罐头、羊肉罐头、鱼类罐头、禽类罐头、肉酱类罐头、其他</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《四川省食品小作坊、小经营店及摊贩管理条例》禁止。</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0902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果蔬罐头</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1.水果罐头</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桃罐头、橘子罐头、菠萝罐头、荔枝罐头、梨罐头、其他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2.蔬菜罐头</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食用菌罐头、竹笋罐头、莲藕罐头、番茄罐头</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豆类罐头、其他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0903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其他罐头</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其他罐头</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果仁类罐头、八宝粥罐头、其他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jc w:val="center"/>
        </w:trPr>
        <w:tc>
          <w:tcPr>
            <w:tcW w:w="610"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51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冷冻饮品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冷冻饮品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1.冰淇淋</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2.雪糕</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3.雪泥</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4.冰棍</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5.食用冰</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6.甜味冰</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7.其他冷冻饮品</w:t>
            </w:r>
          </w:p>
        </w:tc>
        <w:tc>
          <w:tcPr>
            <w:tcW w:w="184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《四川省食品小作坊、小经营店及摊贩管理条例》禁止。</w:t>
            </w:r>
          </w:p>
        </w:tc>
        <w:tc>
          <w:tcPr>
            <w:tcW w:w="1956"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速冻食品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速冻面米食品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1.生制品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速冻饺子、速冻包子、速冻汤圆、速冻粽子、速冻面点、速冻其他面米制品、其他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2.熟制品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速冻饺子、速冻包子、速冻粽子、速冻其他面米制品、其他</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《四川省食品小作坊、小经营店及摊贩管理条例》禁止。</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速冻调制食品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1.生制品(具体品种明细)</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2.熟制品(具体品种明细)</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速冻其他食品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速冻其他食品</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薯类和膨化食品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膨化食品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1.焙烤型</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2.油炸型</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3.直接挤压型</w:t>
            </w:r>
            <w:r>
              <w:rPr>
                <w:rFonts w:hint="default" w:ascii="Times New Roman" w:hAnsi="Times New Roman" w:eastAsia="仿宋_GB2312" w:cs="Times New Roman"/>
                <w:sz w:val="24"/>
                <w:lang w:eastAsia="zh-CN"/>
              </w:rPr>
              <w:t>（除</w:t>
            </w:r>
            <w:r>
              <w:rPr>
                <w:rFonts w:hint="default" w:ascii="Times New Roman" w:hAnsi="Times New Roman" w:eastAsia="仿宋_GB2312" w:cs="Times New Roman"/>
                <w:sz w:val="24"/>
              </w:rPr>
              <w:t>直接膨化的大米花、玉米花、米花糖</w:t>
            </w:r>
            <w:r>
              <w:rPr>
                <w:rFonts w:hint="default" w:ascii="Times New Roman" w:hAnsi="Times New Roman" w:eastAsia="仿宋_GB2312" w:cs="Times New Roman"/>
                <w:sz w:val="24"/>
                <w:lang w:eastAsia="zh-CN"/>
              </w:rPr>
              <w:t>外）</w:t>
            </w:r>
            <w:r>
              <w:rPr>
                <w:rFonts w:hint="default" w:ascii="Times New Roman" w:hAnsi="Times New Roman" w:eastAsia="仿宋_GB2312" w:cs="Times New Roman"/>
                <w:sz w:val="24"/>
              </w:rPr>
              <w:t>4.花色型</w:t>
            </w:r>
          </w:p>
        </w:tc>
        <w:tc>
          <w:tcPr>
            <w:tcW w:w="184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生产条件要求较高，食品安全风险高。</w:t>
            </w:r>
          </w:p>
        </w:tc>
        <w:tc>
          <w:tcPr>
            <w:tcW w:w="1956"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大米、玉米直接膨化的大米花、玉米花、米花糖。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薯类食品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.冷冻薯类</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.薯泥(酱)类</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.其他薯类</w:t>
            </w:r>
          </w:p>
        </w:tc>
        <w:tc>
          <w:tcPr>
            <w:tcW w:w="184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生产条件要求较高，食品安全风险高。</w:t>
            </w:r>
          </w:p>
        </w:tc>
        <w:tc>
          <w:tcPr>
            <w:tcW w:w="1956"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干制薯类、薯粉类。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糖果制品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糖果</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.奶糖糖果</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.夹心糖果</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.焦香糖果(太妃糖果)</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.胶基糖果</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.压片糖果</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.流质糖果</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7</w:t>
            </w:r>
            <w:r>
              <w:rPr>
                <w:rFonts w:hint="default" w:ascii="Times New Roman" w:hAnsi="Times New Roman" w:eastAsia="仿宋_GB2312" w:cs="Times New Roman"/>
                <w:sz w:val="24"/>
              </w:rPr>
              <w:t>.膜片糖果</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.花式糖果</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.其他糖果</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生产条件要求较高，食品安全风险高。</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lang w:eastAsia="zh-CN"/>
              </w:rPr>
              <w:t>糖果（</w:t>
            </w:r>
            <w:r>
              <w:rPr>
                <w:rFonts w:hint="default" w:ascii="Times New Roman" w:hAnsi="Times New Roman" w:eastAsia="仿宋_GB2312" w:cs="Times New Roman"/>
                <w:sz w:val="24"/>
              </w:rPr>
              <w:t>硬质糖果</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酥质糖果</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充气糖果</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凝胶糖果</w:t>
            </w:r>
            <w:r>
              <w:rPr>
                <w:rFonts w:hint="default" w:ascii="Times New Roman" w:hAnsi="Times New Roman" w:eastAsia="仿宋_GB2312"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巧克力及巧克力制品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1.巧克力</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2.巧克力制品</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代可可脂巧克力及代可可脂巧克力制品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1.代可可脂巧克力</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2.代可可脂巧克力制品</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1304</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果冻</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果冻</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果汁型果冻、果肉型果冻、果味型果冻、含乳型果冻、其他型果冻</w:t>
            </w:r>
          </w:p>
        </w:tc>
        <w:tc>
          <w:tcPr>
            <w:tcW w:w="184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《四川省食品小作坊、小经营店及摊贩管理条例》禁止。</w:t>
            </w:r>
          </w:p>
        </w:tc>
        <w:tc>
          <w:tcPr>
            <w:tcW w:w="1956"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茶叶及相关制品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茶叶</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1.绿茶</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龙井茶、珠茶、黄山毛峰、都匀毛尖、其他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2.红茶</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祁门工夫红茶、小种红茶、红碎茶、其他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3.乌龙茶</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铁观音茶、武夷岩茶、凤凰单枞茶、其他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4.白茶</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白毫银针茶、白牡丹茶、贡眉茶、其他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5.黄茶</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蒙顶黄芽茶、霍山黄芽茶、君山银针茶、其他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6.黑茶</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普洱茶(熟茶)散茶、六堡茶散茶、其他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7.花茶</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茉莉花茶、珠兰花茶、桂花茶、其他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8.袋泡茶</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绿茶袋泡茶、红茶袋泡茶、花茶袋泡茶、其他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9.紧压茶：普洱茶（生茶）紧压茶、普洱茶（熟茶）紧压茶、六堡茶紧压茶、白茶紧压茶、花砖茶、黑砖茶、茯砖茶、康砖茶、沱茶、紧茶、金尖茶、米砖茶、青砖茶、其他紧压茶</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生产条件要求较高，食品安全风险高，非本地传统工艺食品。</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调味茶、代用茶。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140</w:t>
            </w:r>
            <w:r>
              <w:rPr>
                <w:rFonts w:hint="default" w:ascii="Times New Roman" w:hAnsi="Times New Roman" w:eastAsia="仿宋_GB2312" w:cs="Times New Roman"/>
                <w:sz w:val="24"/>
                <w:lang w:val="en-US" w:eastAsia="zh-CN"/>
              </w:rPr>
              <w:t>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茶制品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1.茶粉</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绿茶粉、红茶粉、其他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2.固态速溶茶</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速溶红茶、速溶绿茶、其他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3.茶浓缩液</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红茶浓缩液、绿茶浓缩液、其他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4.茶膏</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普洱茶膏、黑茶膏、其他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5.调味茶制品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调味茶粉、调味速溶茶、调味茶浓缩液、调味茶膏、其他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6.其他茶制品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表没食子儿茶素没食子酸酯、绿茶茶氨酸、其他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140</w:t>
            </w:r>
            <w:r>
              <w:rPr>
                <w:rFonts w:hint="default" w:ascii="Times New Roman" w:hAnsi="Times New Roman" w:eastAsia="仿宋_GB2312" w:cs="Times New Roman"/>
                <w:sz w:val="24"/>
                <w:lang w:val="en-US" w:eastAsia="zh-CN"/>
              </w:rPr>
              <w:t>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调味茶</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140</w:t>
            </w:r>
            <w:r>
              <w:rPr>
                <w:rFonts w:hint="default" w:ascii="Times New Roman" w:hAnsi="Times New Roman" w:eastAsia="仿宋_GB2312" w:cs="Times New Roman"/>
                <w:sz w:val="24"/>
                <w:lang w:val="en-US" w:eastAsia="zh-CN"/>
              </w:rPr>
              <w:t>4</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代用茶</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酒类</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白酒</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1.白酒</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2.白酒（液态）</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酒类生产设备、场地、生产过程控制等要求高</w:t>
            </w:r>
            <w:r>
              <w:rPr>
                <w:rFonts w:hint="default" w:ascii="Times New Roman" w:hAnsi="Times New Roman" w:eastAsia="仿宋_GB2312" w:cs="Times New Roman"/>
                <w:sz w:val="24"/>
                <w:lang w:eastAsia="zh-CN"/>
              </w:rPr>
              <w:t>。</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已取得营业执照和环评备案手续，且采用传统酿造工艺纯粮酿造的白酒</w:t>
            </w:r>
            <w:r>
              <w:rPr>
                <w:rFonts w:hint="default" w:ascii="Times New Roman" w:hAnsi="Times New Roman" w:eastAsia="仿宋_GB2312" w:cs="Times New Roman"/>
                <w:sz w:val="24"/>
                <w:lang w:eastAsia="zh-CN"/>
              </w:rPr>
              <w:t>原酒</w:t>
            </w:r>
            <w:r>
              <w:rPr>
                <w:rFonts w:hint="default" w:ascii="Times New Roman" w:hAnsi="Times New Roman" w:eastAsia="仿宋_GB2312" w:cs="Times New Roman"/>
                <w:sz w:val="24"/>
              </w:rPr>
              <w:t>（固态法）、米酒(醪糟)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葡萄酒及果酒</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1.葡萄酒</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原酒、加工灌装</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2.冰葡萄酒</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原酒、加工灌装</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3.其他特种葡萄酒</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原酒、加工灌装</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4.发酵型果酒</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原酒、加工灌装</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啤酒</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1.熟啤酒</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2.生啤酒</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3.鲜啤酒</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4.特种啤酒</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1504</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黄酒</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黄酒(原酒、加工灌装)</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1505</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其他酒</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1.配制酒</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露酒、枸杞酒、枇杷酒、其他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2.其他蒸馏酒</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白兰地、威士忌、俄得克、朗姆酒、水果白兰地、水果蒸馏酒、其他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3.其他发酵酒</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清酒、奶酒、其他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1506</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食用酒精</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食用酒精</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蔬菜制品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酱腌菜</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虾油渍菜、其他</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生产条件要求较高，食品安全风险高，非本地传统工艺食品。</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酱腌菜（调味榨菜、腌萝卜、腌豇豆、酱渍菜、盐水渍菜），自然干制蔬菜、热风干燥蔬菜、干制食用菌。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蔬菜干制品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.冷冻干燥蔬菜</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.蔬菜脆片</w:t>
            </w:r>
          </w:p>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.蔬菜粉及制品</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食用菌制品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腌渍食用菌</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1604</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其他蔬菜制品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其他蔬菜制品</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highlight w:val="none"/>
              </w:rPr>
              <w:t>17</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水果制品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蜜饯</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1.蜜饯类</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2.凉果类</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3.果脯类</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4.话化类</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5.果丹(饼)类</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6.果糕类</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容易用腐烂水果和边角料，食品安全风险高</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椰子、大枣不是我县特色农产品。</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val="en-US"/>
              </w:rPr>
            </w:pPr>
            <w:r>
              <w:rPr>
                <w:rFonts w:hint="default" w:ascii="Times New Roman" w:hAnsi="Times New Roman" w:eastAsia="仿宋_GB2312" w:cs="Times New Roman"/>
                <w:sz w:val="24"/>
                <w:lang w:eastAsia="zh-CN"/>
              </w:rPr>
              <w:t>水果制品</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水果干制品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葡萄干、荔枝干、桂圆</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1702</w:t>
            </w:r>
          </w:p>
        </w:tc>
        <w:tc>
          <w:tcPr>
            <w:tcW w:w="158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水果制品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水果干制品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水果脆片、椰干、大枣干制品、其他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cs="Times New Roman"/>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cs="Times New Roman"/>
              </w:rPr>
            </w:pPr>
          </w:p>
        </w:tc>
        <w:tc>
          <w:tcPr>
            <w:tcW w:w="76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cs="Times New Roman"/>
              </w:rPr>
            </w:pPr>
          </w:p>
        </w:tc>
        <w:tc>
          <w:tcPr>
            <w:tcW w:w="158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cs="Times New Roman"/>
              </w:rPr>
            </w:pP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果酱</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苹果酱、草莓酱、蓝莓酱、其他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jc w:val="center"/>
        </w:trPr>
        <w:tc>
          <w:tcPr>
            <w:tcW w:w="610"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151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炒货食品及坚果制品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炒货食品及坚果制品</w:t>
            </w:r>
          </w:p>
        </w:tc>
        <w:tc>
          <w:tcPr>
            <w:tcW w:w="7188" w:type="dxa"/>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.油炸类</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油炸青豆、油炸琥珀桃仁、其他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.其他类</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水煮花生、糖炒花生、糖炒瓜子仁、裹衣花生、咸干花生、其他</w:t>
            </w:r>
          </w:p>
        </w:tc>
        <w:tc>
          <w:tcPr>
            <w:tcW w:w="1848" w:type="dxa"/>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油炸类、其他类不易保存，食品安全风险高。</w:t>
            </w:r>
          </w:p>
        </w:tc>
        <w:tc>
          <w:tcPr>
            <w:tcW w:w="1956"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烘炒类(炒瓜子、炒花生、炒豌豆、其他)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610"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19</w:t>
            </w:r>
          </w:p>
        </w:tc>
        <w:tc>
          <w:tcPr>
            <w:tcW w:w="151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蛋制品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1901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蛋制品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1.再制蛋类</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糟蛋、卤蛋、咸蛋黄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2.干蛋类</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巴氏杀菌鸡全蛋粉、鸡蛋黄粉、鸡蛋白片、其他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3.冰蛋类</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巴氏杀菌冻鸡全蛋、冻鸡蛋黄、冰鸡蛋白、其他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4.其他类</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热凝固蛋制品、其他</w:t>
            </w:r>
          </w:p>
        </w:tc>
        <w:tc>
          <w:tcPr>
            <w:tcW w:w="184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生产设备、场地、生产过程控制等要求高。</w:t>
            </w:r>
          </w:p>
        </w:tc>
        <w:tc>
          <w:tcPr>
            <w:tcW w:w="1956"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再制蛋类(皮蛋、咸蛋)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可可及焙烤咖啡产品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可可制品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可可粉、可可脂、可可液块、可可饼块、其他</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食品安全风险高。非本地传统工艺食品。</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焙炒咖啡</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焙炒咖啡豆、咖啡粉、其他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610"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21</w:t>
            </w:r>
          </w:p>
        </w:tc>
        <w:tc>
          <w:tcPr>
            <w:tcW w:w="151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食糖</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2101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糖</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1.白砂糖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2.绵白糖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3.赤砂糖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4.冰糖</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单晶体冰糖、多晶体冰糖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5.方糖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6.冰片糖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7.红糖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8.其他糖(具体品种明细)</w:t>
            </w:r>
          </w:p>
        </w:tc>
        <w:tc>
          <w:tcPr>
            <w:tcW w:w="184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原糖加工项目及日处理甘蔗5000吨（云南地区3000吨）、日处理甜菜3000吨以下的项目属于《产业结构调整指导目录》中限制类，同时生产设备、场地、生产过程控制等要求高。</w:t>
            </w:r>
          </w:p>
        </w:tc>
        <w:tc>
          <w:tcPr>
            <w:tcW w:w="1956"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22</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水产制品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2201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干制水产品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虾米、虾皮、干贝、鱼干、干燥裙带菜、干海带、干紫菜、干海参、其他</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食品安全风险高。非本地传统工艺食品。</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2202</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i w:val="0"/>
                <w:iCs w:val="0"/>
                <w:color w:val="auto"/>
                <w:kern w:val="0"/>
                <w:sz w:val="22"/>
                <w:szCs w:val="22"/>
                <w:u w:val="none"/>
                <w:lang w:val="en-US" w:eastAsia="zh-CN" w:bidi="ar"/>
              </w:rPr>
              <w:t>盐渍水产品</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rPr>
            </w:pPr>
            <w:r>
              <w:rPr>
                <w:rStyle w:val="9"/>
                <w:rFonts w:hint="default" w:ascii="Times New Roman" w:hAnsi="Times New Roman" w:eastAsia="仿宋_GB2312" w:cs="Times New Roman"/>
                <w:color w:val="auto"/>
                <w:lang w:val="en-US" w:eastAsia="zh-CN" w:bidi="ar"/>
              </w:rPr>
              <w:t>盐渍藻类、盐渍海蜇、盐渍鱼、盐渍海参、</w:t>
            </w:r>
            <w:r>
              <w:rPr>
                <w:rStyle w:val="10"/>
                <w:rFonts w:hint="default" w:ascii="Times New Roman" w:hAnsi="Times New Roman" w:eastAsia="仿宋_GB2312" w:cs="Times New Roman"/>
                <w:color w:val="auto"/>
                <w:lang w:val="en-US" w:eastAsia="zh-CN" w:bidi="ar"/>
              </w:rPr>
              <w:t>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i w:val="0"/>
                <w:iCs w:val="0"/>
                <w:color w:val="auto"/>
                <w:kern w:val="0"/>
                <w:sz w:val="22"/>
                <w:szCs w:val="22"/>
                <w:u w:val="none"/>
                <w:lang w:val="en-US" w:eastAsia="zh-CN" w:bidi="ar"/>
              </w:rPr>
              <w:t>2203</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鱼糜及鱼糜制品</w:t>
            </w:r>
          </w:p>
        </w:tc>
        <w:tc>
          <w:tcPr>
            <w:tcW w:w="7188" w:type="dxa"/>
            <w:vAlign w:val="center"/>
          </w:tcPr>
          <w:p>
            <w:pPr>
              <w:keepNext w:val="0"/>
              <w:keepLines w:val="0"/>
              <w:widowControl/>
              <w:suppressLineNumbers w:val="0"/>
              <w:jc w:val="left"/>
              <w:textAlignment w:val="center"/>
              <w:rPr>
                <w:rStyle w:val="9"/>
                <w:rFonts w:hint="default" w:ascii="Times New Roman" w:hAnsi="Times New Roman" w:eastAsia="仿宋_GB2312" w:cs="Times New Roman"/>
                <w:color w:val="auto"/>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冷冻鱼糜、冷冻鱼糜制品</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i w:val="0"/>
                <w:iCs w:val="0"/>
                <w:color w:val="auto"/>
                <w:kern w:val="0"/>
                <w:sz w:val="22"/>
                <w:szCs w:val="22"/>
                <w:u w:val="none"/>
                <w:lang w:val="en-US" w:eastAsia="zh-CN" w:bidi="ar"/>
              </w:rPr>
              <w:t>2204</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冷冻水产制品</w:t>
            </w:r>
          </w:p>
        </w:tc>
        <w:tc>
          <w:tcPr>
            <w:tcW w:w="7188" w:type="dxa"/>
            <w:vAlign w:val="center"/>
          </w:tcPr>
          <w:p>
            <w:pPr>
              <w:keepNext w:val="0"/>
              <w:keepLines w:val="0"/>
              <w:widowControl/>
              <w:suppressLineNumbers w:val="0"/>
              <w:jc w:val="left"/>
              <w:textAlignment w:val="center"/>
              <w:rPr>
                <w:rStyle w:val="9"/>
                <w:rFonts w:hint="default" w:ascii="Times New Roman" w:hAnsi="Times New Roman" w:eastAsia="仿宋_GB2312" w:cs="Times New Roman"/>
                <w:color w:val="auto"/>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冷冻调理制品、冷冻挂浆制品、冻煮制品、冻油炸制品、冻烧烤制品、其他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i w:val="0"/>
                <w:iCs w:val="0"/>
                <w:color w:val="auto"/>
                <w:kern w:val="0"/>
                <w:sz w:val="22"/>
                <w:szCs w:val="22"/>
                <w:u w:val="none"/>
                <w:lang w:val="en-US" w:eastAsia="zh-CN" w:bidi="ar"/>
              </w:rPr>
              <w:t>2205</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熟制水产品</w:t>
            </w:r>
          </w:p>
        </w:tc>
        <w:tc>
          <w:tcPr>
            <w:tcW w:w="7188" w:type="dxa"/>
            <w:vAlign w:val="center"/>
          </w:tcPr>
          <w:p>
            <w:pPr>
              <w:keepNext w:val="0"/>
              <w:keepLines w:val="0"/>
              <w:widowControl/>
              <w:suppressLineNumbers w:val="0"/>
              <w:jc w:val="left"/>
              <w:textAlignment w:val="center"/>
              <w:rPr>
                <w:rStyle w:val="9"/>
                <w:rFonts w:hint="default" w:ascii="Times New Roman" w:hAnsi="Times New Roman" w:eastAsia="仿宋_GB2312" w:cs="Times New Roman"/>
                <w:color w:val="auto"/>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烤鱼片、鱿鱼丝、烤虾、海苔、鱼松、鱼肠、鱼饼、调味鱼（鱿鱼）、即食海参（鲍鱼）、调味海带（裙带菜）、其他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i w:val="0"/>
                <w:iCs w:val="0"/>
                <w:color w:val="auto"/>
                <w:kern w:val="0"/>
                <w:sz w:val="22"/>
                <w:szCs w:val="22"/>
                <w:u w:val="none"/>
                <w:lang w:val="en-US" w:eastAsia="zh-CN" w:bidi="ar"/>
              </w:rPr>
              <w:t>2206</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生食水产品</w:t>
            </w:r>
          </w:p>
        </w:tc>
        <w:tc>
          <w:tcPr>
            <w:tcW w:w="7188" w:type="dxa"/>
            <w:vAlign w:val="center"/>
          </w:tcPr>
          <w:p>
            <w:pPr>
              <w:keepNext w:val="0"/>
              <w:keepLines w:val="0"/>
              <w:widowControl/>
              <w:suppressLineNumbers w:val="0"/>
              <w:jc w:val="left"/>
              <w:textAlignment w:val="center"/>
              <w:rPr>
                <w:rStyle w:val="9"/>
                <w:rFonts w:hint="default" w:ascii="Times New Roman" w:hAnsi="Times New Roman" w:eastAsia="仿宋_GB2312" w:cs="Times New Roman"/>
                <w:color w:val="auto"/>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腌制生食水产品、非腌制生食水产品</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i w:val="0"/>
                <w:iCs w:val="0"/>
                <w:color w:val="auto"/>
                <w:kern w:val="0"/>
                <w:sz w:val="22"/>
                <w:szCs w:val="22"/>
                <w:u w:val="none"/>
                <w:lang w:val="en-US" w:eastAsia="zh-CN" w:bidi="ar"/>
              </w:rPr>
              <w:t>2207</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其他水产品</w:t>
            </w:r>
          </w:p>
        </w:tc>
        <w:tc>
          <w:tcPr>
            <w:tcW w:w="7188" w:type="dxa"/>
            <w:vAlign w:val="center"/>
          </w:tcPr>
          <w:p>
            <w:pPr>
              <w:keepNext w:val="0"/>
              <w:keepLines w:val="0"/>
              <w:widowControl/>
              <w:suppressLineNumbers w:val="0"/>
              <w:jc w:val="left"/>
              <w:textAlignment w:val="center"/>
              <w:rPr>
                <w:rStyle w:val="9"/>
                <w:rFonts w:hint="default" w:ascii="Times New Roman" w:hAnsi="Times New Roman" w:eastAsia="仿宋_GB2312" w:cs="Times New Roman"/>
                <w:color w:val="auto"/>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其他水产品</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23</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淀粉及淀粉制品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2301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淀粉及淀粉制品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1.淀粉</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谷类淀粉(大米、玉米、高粱、麦、其他)、其他淀粉(藕、荸荠、百合、蕨根、其他)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2.淀粉制品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虾味片、凉粉、其他</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需取得环评备案手续的应具备环评备案手续，</w:t>
            </w:r>
            <w:r>
              <w:rPr>
                <w:rFonts w:hint="default" w:ascii="Times New Roman" w:hAnsi="Times New Roman" w:eastAsia="仿宋_GB2312" w:cs="Times New Roman"/>
                <w:sz w:val="24"/>
              </w:rPr>
              <w:t>淀粉及淀粉制品薯类淀粉、豆类淀粉、淀粉制品（粉丝、粉条、粉皮）淀粉糖（麦芽糖）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2302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淀粉糖</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葡萄糖、饴糖、异构化糖、低聚异麦芽糖、果葡糖浆、麦芽糊精、葡萄糖浆、其他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24</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糕点</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2401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热加工糕点</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即食食品，食品安全风险高。</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热加工糕点、冷加工糕点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2402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冷加工糕点</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2403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食品馅料</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月饼馅料、其他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jc w:val="center"/>
        </w:trPr>
        <w:tc>
          <w:tcPr>
            <w:tcW w:w="610"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51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豆制品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豆制品</w:t>
            </w:r>
          </w:p>
        </w:tc>
        <w:tc>
          <w:tcPr>
            <w:tcW w:w="7188" w:type="dxa"/>
            <w:vAlign w:val="center"/>
          </w:tcPr>
          <w:p>
            <w:pPr>
              <w:keepNext w:val="0"/>
              <w:keepLines w:val="0"/>
              <w:pageBreakBefore w:val="0"/>
              <w:numPr>
                <w:ilvl w:val="0"/>
                <w:numId w:val="0"/>
              </w:numPr>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发酵性豆制品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纳豆、豆汁、其他</w:t>
            </w:r>
          </w:p>
          <w:p>
            <w:pPr>
              <w:keepNext w:val="0"/>
              <w:keepLines w:val="0"/>
              <w:pageBreakBefore w:val="0"/>
              <w:numPr>
                <w:ilvl w:val="0"/>
                <w:numId w:val="0"/>
              </w:numPr>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lang w:eastAsia="zh-CN"/>
              </w:rPr>
              <w:t>非</w:t>
            </w:r>
            <w:r>
              <w:rPr>
                <w:rFonts w:hint="default" w:ascii="Times New Roman" w:hAnsi="Times New Roman" w:eastAsia="仿宋_GB2312" w:cs="Times New Roman"/>
                <w:sz w:val="24"/>
              </w:rPr>
              <w:t>发酵性豆制品</w:t>
            </w:r>
            <w:r>
              <w:rPr>
                <w:rFonts w:hint="default" w:ascii="Times New Roman" w:hAnsi="Times New Roman" w:eastAsia="仿宋_GB2312" w:cs="Times New Roman"/>
                <w:sz w:val="24"/>
                <w:lang w:eastAsia="zh-CN"/>
              </w:rPr>
              <w:t>：豆浆、其他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其他豆制品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素肉、大豆组织蛋白、膨化豆制品、其他</w:t>
            </w:r>
          </w:p>
        </w:tc>
        <w:tc>
          <w:tcPr>
            <w:tcW w:w="184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部分豆制品为即食食品，食品安全风险高。</w:t>
            </w:r>
          </w:p>
        </w:tc>
        <w:tc>
          <w:tcPr>
            <w:tcW w:w="1956"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lang w:eastAsia="zh-CN"/>
              </w:rPr>
              <w:t>豆制品</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发酵性豆制品（豆豉、腐乳），非发酵性豆制品(豆腐、豆腐泡、熏干、豆腐脑、豆腐干、腐竹、豆腐皮)</w:t>
            </w:r>
            <w:r>
              <w:rPr>
                <w:rFonts w:hint="default" w:ascii="Times New Roman" w:hAnsi="Times New Roman" w:eastAsia="仿宋_GB2312"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26</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蜂产品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2601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蜂蜜</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蜂蜜</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即食、易掺杂掺假，食品安全风险高。</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2602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蜂王浆(含蜂王浆冻干品)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蜂王浆、蜂王浆冻干品</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2603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蜂花粉</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蜂花粉</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2604</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蜂产品制品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蜂产品制品</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27</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保健食品</w:t>
            </w: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2701</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片剂</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restart"/>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《四川省食品小作坊、小经营店及摊贩管理条例》禁止。</w:t>
            </w:r>
          </w:p>
        </w:tc>
        <w:tc>
          <w:tcPr>
            <w:tcW w:w="1956" w:type="dxa"/>
            <w:vMerge w:val="restart"/>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2702</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粉剂</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2703</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颗粒剂</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2704</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茶剂</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2705</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硬胶囊剂</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2706</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软胶囊剂</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2707</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口服液</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2708</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丸剂</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2709</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膏剂</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2710</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饮料</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2711</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酒剂</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2712</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饼干类</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2713</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糖果类</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2714</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糕点类</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2715</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液体乳类</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2716</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原料提取物</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2717</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复配营养素</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2718</w:t>
            </w:r>
          </w:p>
        </w:tc>
        <w:tc>
          <w:tcPr>
            <w:tcW w:w="158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其他类别</w:t>
            </w:r>
          </w:p>
        </w:tc>
        <w:tc>
          <w:tcPr>
            <w:tcW w:w="7188"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具体品种</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28</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特殊医学用途配方食品</w:t>
            </w:r>
          </w:p>
        </w:tc>
        <w:tc>
          <w:tcPr>
            <w:tcW w:w="768" w:type="dxa"/>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2801</w:t>
            </w:r>
          </w:p>
        </w:tc>
        <w:tc>
          <w:tcPr>
            <w:tcW w:w="1584" w:type="dxa"/>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特殊医学用途配方食品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1.全营养配方食品</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特定全营养配方食品：糖尿病全营养配方食品，呼吸系统病全营养配方食品，肾病全营养配方食品，肿瘤全营养配方食品，肝病全营养配方食品，肌肉衰减综合征全营养配方食品，创伤、感染、手术及其他应激状态全营养配方食品，炎性肠病全营养配方食品，食物蛋白过敏全营养配方食品，难治性癫痫全营养配方食品，胃肠道吸收障碍、胰腺炎全营养配方食品，脂肪酸代谢异常全营养配方食品，肥胖、减脂手术全营养配方食品，其他</w:t>
            </w:r>
          </w:p>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3.非全营养配方食品：营养素组件配方食品，电解质配方食品，增稠组件配方食品，流质配方食品，氨基酸代谢障碍配方食品，其他</w:t>
            </w:r>
          </w:p>
        </w:tc>
        <w:tc>
          <w:tcPr>
            <w:tcW w:w="1848" w:type="dxa"/>
            <w:vMerge w:val="restart"/>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《四川省食品小作坊、小经营店及摊贩管理条例》禁止。</w:t>
            </w:r>
          </w:p>
        </w:tc>
        <w:tc>
          <w:tcPr>
            <w:tcW w:w="1956" w:type="dxa"/>
            <w:vMerge w:val="restart"/>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2802</w:t>
            </w:r>
          </w:p>
        </w:tc>
        <w:tc>
          <w:tcPr>
            <w:tcW w:w="1584" w:type="dxa"/>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特殊医学用途婴儿配方食品</w:t>
            </w:r>
          </w:p>
        </w:tc>
        <w:tc>
          <w:tcPr>
            <w:tcW w:w="7188" w:type="dxa"/>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特殊医学用途婴儿配方食品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无乳糖配方或低乳糖配方、乳蛋白部分水解配方、乳蛋白深度水解配方或氨基酸配方、早产/低出生体重婴儿配方、氨基酸代谢障碍配方、婴儿营养补充剂、其他</w:t>
            </w:r>
          </w:p>
        </w:tc>
        <w:tc>
          <w:tcPr>
            <w:tcW w:w="1848"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c>
          <w:tcPr>
            <w:tcW w:w="1956" w:type="dxa"/>
            <w:vMerge w:val="continue"/>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610"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29</w:t>
            </w:r>
          </w:p>
        </w:tc>
        <w:tc>
          <w:tcPr>
            <w:tcW w:w="151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婴幼儿配方食品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2901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婴幼儿配方乳粉</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1.婴儿配方乳粉</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湿法工艺、干法工艺、干湿法复合工艺</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2.较大婴儿配方乳粉</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湿法工艺、干法工艺、干湿法复合工艺</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3.幼儿配方乳粉</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湿法工艺、干法工艺、干湿法复合工艺</w:t>
            </w:r>
          </w:p>
        </w:tc>
        <w:tc>
          <w:tcPr>
            <w:tcW w:w="184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《四川省食品小作坊、小经营店及摊贩管理条例》禁止。</w:t>
            </w:r>
          </w:p>
        </w:tc>
        <w:tc>
          <w:tcPr>
            <w:tcW w:w="1956"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30</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特殊膳食食品</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3001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婴幼儿谷类辅助食品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1.婴幼儿谷物辅助食品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婴幼儿米粉、婴幼儿小米米粉、其他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2.婴幼儿高蛋白谷物辅助食品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高蛋白婴幼儿米粉、高蛋白婴幼儿小米米粉、其他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3.婴幼儿生制类谷物辅助食品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婴幼儿面条、婴幼儿颗粒面、其他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4.婴幼儿饼干或其他婴幼儿谷物辅助食品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婴幼儿饼干、婴幼儿米饼、婴幼儿磨牙棒、其他</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《四川省食品小作坊、小经营店及摊贩管理条例》禁止。</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3"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3002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婴幼儿罐装辅助食品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1.泥(糊)状罐装食品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婴幼儿果蔬泥、婴幼儿肉泥、婴幼儿鱼泥、其他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2.颗粒状罐装食品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婴幼儿颗粒果蔬泥、婴幼儿颗粒肉泥、婴幼儿颗粒鱼泥、其他</w:t>
            </w:r>
          </w:p>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3.汁类罐装食品</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婴幼儿水果汁、婴幼儿蔬菜汁、其他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3003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其他特殊膳食食品</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szCs w:val="24"/>
              </w:rPr>
              <w:t>其他特殊膳食食品：辅助营养补充品、运动营养补充品、孕妇及乳母营养补充食品、其他</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610"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1</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食品添加剂</w:t>
            </w: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01</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食品添加剂</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食品添加剂产品名称</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使用GB2760、GB14880或卫生计生委公告规定的食品添加剂名称；标准中对不同工艺有明确规定的应当在括号中标明；不包括食品用香精和复配食品添加剂</w:t>
            </w:r>
          </w:p>
        </w:tc>
        <w:tc>
          <w:tcPr>
            <w:tcW w:w="1848"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《四川省食品小作坊、小经营店及摊贩管理条例》禁止。</w:t>
            </w:r>
          </w:p>
        </w:tc>
        <w:tc>
          <w:tcPr>
            <w:tcW w:w="1956" w:type="dxa"/>
            <w:vMerge w:val="restart"/>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02</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sz w:val="24"/>
              </w:rPr>
              <w:t>食品用香精</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r>
              <w:rPr>
                <w:rFonts w:hint="default" w:ascii="Times New Roman" w:hAnsi="Times New Roman" w:eastAsia="仿宋_GB2312" w:cs="Times New Roman"/>
                <w:sz w:val="24"/>
              </w:rPr>
              <w:t>食品用香精</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液体、乳化、浆(膏)状、粉末(拌和、胶囊)</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610"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1514"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p>
        </w:tc>
        <w:tc>
          <w:tcPr>
            <w:tcW w:w="76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03</w:t>
            </w:r>
          </w:p>
        </w:tc>
        <w:tc>
          <w:tcPr>
            <w:tcW w:w="1584"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复配食品添加剂</w:t>
            </w:r>
          </w:p>
        </w:tc>
        <w:tc>
          <w:tcPr>
            <w:tcW w:w="7188" w:type="dxa"/>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复配食品添加剂明细(使用GB 26687规定的名称)</w:t>
            </w:r>
          </w:p>
        </w:tc>
        <w:tc>
          <w:tcPr>
            <w:tcW w:w="1848"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c>
          <w:tcPr>
            <w:tcW w:w="1956" w:type="dxa"/>
            <w:vMerge w:val="continue"/>
            <w:vAlign w:val="center"/>
          </w:tcPr>
          <w:p>
            <w:pPr>
              <w:keepNext w:val="0"/>
              <w:keepLines w:val="0"/>
              <w:pageBreakBefore w:val="0"/>
              <w:kinsoku/>
              <w:wordWrap/>
              <w:overflowPunct/>
              <w:topLinePunct w:val="0"/>
              <w:autoSpaceDE/>
              <w:autoSpaceDN/>
              <w:bidi w:val="0"/>
              <w:adjustRightInd w:val="0"/>
              <w:snapToGrid w:val="0"/>
              <w:spacing w:before="16" w:beforeLines="7" w:after="16" w:afterLines="7" w:line="400" w:lineRule="exact"/>
              <w:rPr>
                <w:rFonts w:hint="default" w:ascii="Times New Roman" w:hAnsi="Times New Roman" w:eastAsia="仿宋_GB2312" w:cs="Times New Roman"/>
                <w:bCs/>
                <w:sz w:val="24"/>
              </w:rPr>
            </w:pPr>
          </w:p>
        </w:tc>
      </w:tr>
    </w:tbl>
    <w:p>
      <w:pPr>
        <w:keepNext w:val="0"/>
        <w:keepLines w:val="0"/>
        <w:pageBreakBefore w:val="0"/>
        <w:widowControl w:val="0"/>
        <w:kinsoku/>
        <w:wordWrap/>
        <w:overflowPunct/>
        <w:topLinePunct w:val="0"/>
        <w:autoSpaceDE/>
        <w:autoSpaceDN/>
        <w:bidi w:val="0"/>
        <w:adjustRightInd w:val="0"/>
        <w:snapToGrid w:val="0"/>
        <w:spacing w:before="16" w:beforeLines="7" w:after="16" w:afterLines="7" w:line="50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备注：1.食品种类按照食品生产许可的分类原则划分；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6" w:beforeLines="7" w:after="16" w:afterLines="7" w:line="500" w:lineRule="exact"/>
        <w:ind w:firstLine="944" w:firstLineChars="400"/>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食品小作坊应当在登记的食品种类范围内按照相应的食品安全标准从事食品生产加工活动</w:t>
      </w:r>
      <w:r>
        <w:rPr>
          <w:rFonts w:hint="default" w:ascii="Times New Roman" w:hAnsi="Times New Roman" w:eastAsia="仿宋_GB2312" w:cs="Times New Roman"/>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6" w:beforeLines="7" w:after="16" w:afterLines="7" w:line="500" w:lineRule="exact"/>
        <w:ind w:firstLine="944" w:firstLineChars="400"/>
        <w:jc w:val="left"/>
        <w:textAlignment w:val="auto"/>
        <w:rPr>
          <w:rFonts w:hint="default" w:ascii="Times New Roman" w:hAnsi="Times New Roman" w:eastAsia="仿宋_GB2312" w:cs="Times New Roman"/>
          <w:sz w:val="24"/>
          <w:lang w:val="en-US" w:eastAsia="zh-CN"/>
        </w:rPr>
        <w:sectPr>
          <w:footerReference r:id="rId3" w:type="default"/>
          <w:footerReference r:id="rId4" w:type="even"/>
          <w:pgSz w:w="16838" w:h="11906" w:orient="landscape"/>
          <w:pgMar w:top="1588" w:right="2098" w:bottom="1474" w:left="1985" w:header="851" w:footer="992" w:gutter="0"/>
          <w:cols w:space="425" w:num="1"/>
          <w:docGrid w:type="linesAndChars" w:linePitch="578" w:charSpace="-849"/>
        </w:sectPr>
      </w:pPr>
      <w:r>
        <w:rPr>
          <w:rFonts w:hint="default" w:ascii="Times New Roman" w:hAnsi="Times New Roman" w:eastAsia="仿宋_GB2312" w:cs="Times New Roman"/>
          <w:sz w:val="24"/>
          <w:lang w:val="en-US" w:eastAsia="zh-CN"/>
        </w:rPr>
        <w:t>3.食品小作坊禁止接受委托生产加工或者分装食品。</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6" w:beforeLines="7" w:after="16" w:afterLines="7" w:line="500" w:lineRule="exact"/>
        <w:ind w:firstLine="944" w:firstLineChars="400"/>
        <w:jc w:val="left"/>
        <w:textAlignment w:val="auto"/>
        <w:rPr>
          <w:rFonts w:hint="default" w:ascii="Times New Roman" w:hAnsi="Times New Roman" w:eastAsia="仿宋_GB2312" w:cs="Times New Roman"/>
          <w:sz w:val="24"/>
          <w:lang w:val="en-US" w:eastAsia="zh-CN"/>
        </w:rPr>
      </w:pPr>
    </w:p>
    <w:p>
      <w:pPr>
        <w:rPr>
          <w:rFonts w:hint="default" w:ascii="Times New Roman" w:hAnsi="Times New Roman" w:cs="Times New Roman"/>
          <w:szCs w:val="32"/>
        </w:rPr>
      </w:pPr>
    </w:p>
    <w:p>
      <w:pPr>
        <w:rPr>
          <w:rFonts w:hint="default" w:ascii="Times New Roman" w:hAnsi="Times New Roman" w:cs="Times New Roman"/>
          <w:szCs w:val="32"/>
        </w:rPr>
      </w:pPr>
    </w:p>
    <w:p>
      <w:pPr>
        <w:rPr>
          <w:rFonts w:hint="default" w:ascii="Times New Roman" w:hAnsi="Times New Roman" w:cs="Times New Roman"/>
          <w:szCs w:val="32"/>
        </w:rPr>
      </w:pPr>
    </w:p>
    <w:p>
      <w:pPr>
        <w:rPr>
          <w:rFonts w:hint="default" w:ascii="Times New Roman" w:hAnsi="Times New Roman" w:cs="Times New Roman"/>
          <w:szCs w:val="32"/>
        </w:rPr>
      </w:pPr>
    </w:p>
    <w:p>
      <w:pPr>
        <w:rPr>
          <w:rFonts w:hint="default" w:ascii="Times New Roman" w:hAnsi="Times New Roman" w:cs="Times New Roman"/>
          <w:szCs w:val="32"/>
        </w:rPr>
      </w:pPr>
    </w:p>
    <w:p>
      <w:pPr>
        <w:rPr>
          <w:rFonts w:hint="default" w:ascii="Times New Roman" w:hAnsi="Times New Roman" w:cs="Times New Roman"/>
          <w:szCs w:val="32"/>
        </w:rPr>
      </w:pPr>
    </w:p>
    <w:p>
      <w:pPr>
        <w:rPr>
          <w:rFonts w:hint="default" w:ascii="Times New Roman" w:hAnsi="Times New Roman" w:cs="Times New Roman"/>
          <w:szCs w:val="32"/>
        </w:rPr>
      </w:pPr>
    </w:p>
    <w:p>
      <w:pPr>
        <w:rPr>
          <w:rFonts w:hint="default" w:ascii="Times New Roman" w:hAnsi="Times New Roman" w:cs="Times New Roman"/>
          <w:szCs w:val="32"/>
        </w:rPr>
      </w:pPr>
    </w:p>
    <w:p>
      <w:pPr>
        <w:rPr>
          <w:rFonts w:hint="default" w:ascii="Times New Roman" w:hAnsi="Times New Roman" w:cs="Times New Roman"/>
          <w:szCs w:val="32"/>
        </w:rPr>
      </w:pPr>
    </w:p>
    <w:p>
      <w:pPr>
        <w:rPr>
          <w:rFonts w:hint="default" w:ascii="Times New Roman" w:hAnsi="Times New Roman" w:cs="Times New Roman"/>
          <w:szCs w:val="32"/>
        </w:rPr>
      </w:pPr>
    </w:p>
    <w:p>
      <w:pPr>
        <w:rPr>
          <w:rFonts w:hint="default" w:ascii="Times New Roman" w:hAnsi="Times New Roman" w:cs="Times New Roman"/>
          <w:szCs w:val="32"/>
        </w:rPr>
      </w:pPr>
    </w:p>
    <w:tbl>
      <w:tblPr>
        <w:tblStyle w:val="6"/>
        <w:tblpPr w:leftFromText="180" w:rightFromText="180" w:vertAnchor="text" w:horzAnchor="page" w:tblpX="1372" w:tblpY="5260"/>
        <w:tblOverlap w:val="never"/>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60" w:type="dxa"/>
            <w:tcBorders>
              <w:left w:val="nil"/>
              <w:right w:val="nil"/>
            </w:tcBorders>
          </w:tcPr>
          <w:p>
            <w:pPr>
              <w:tabs>
                <w:tab w:val="left" w:pos="8500"/>
              </w:tabs>
              <w:spacing w:line="578" w:lineRule="exact"/>
              <w:ind w:firstLine="158" w:firstLineChars="50"/>
              <w:jc w:val="left"/>
              <w:rPr>
                <w:rFonts w:hint="default" w:ascii="Times New Roman" w:hAnsi="Times New Roman" w:eastAsia="仿宋_GB2312" w:cs="Times New Roman"/>
                <w:szCs w:val="32"/>
                <w:lang w:eastAsia="zh-CN"/>
              </w:rPr>
            </w:pPr>
            <w:r>
              <w:rPr>
                <w:rFonts w:hint="default" w:ascii="Times New Roman" w:hAnsi="Times New Roman" w:cs="Times New Roman"/>
                <w:szCs w:val="32"/>
              </w:rPr>
              <w:t xml:space="preserve">泸县市场监督管理局   </w:t>
            </w:r>
            <w:r>
              <w:rPr>
                <w:rFonts w:hint="default" w:ascii="Times New Roman" w:hAnsi="Times New Roman"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202</w:t>
            </w:r>
            <w:r>
              <w:rPr>
                <w:rFonts w:hint="default" w:ascii="Times New Roman" w:hAnsi="Times New Roman" w:cs="Times New Roman"/>
                <w:szCs w:val="32"/>
                <w:lang w:val="en-US" w:eastAsia="zh-CN"/>
              </w:rPr>
              <w:t>2</w:t>
            </w:r>
            <w:r>
              <w:rPr>
                <w:rFonts w:hint="default" w:ascii="Times New Roman" w:hAnsi="Times New Roman" w:cs="Times New Roman"/>
                <w:szCs w:val="32"/>
              </w:rPr>
              <w:t>年</w:t>
            </w:r>
            <w:r>
              <w:rPr>
                <w:rFonts w:hint="eastAsia" w:ascii="Times New Roman" w:hAnsi="Times New Roman" w:cs="Times New Roman"/>
                <w:szCs w:val="32"/>
                <w:lang w:val="en-US" w:eastAsia="zh-CN"/>
              </w:rPr>
              <w:t>11</w:t>
            </w:r>
            <w:r>
              <w:rPr>
                <w:rFonts w:hint="default" w:ascii="Times New Roman" w:hAnsi="Times New Roman" w:cs="Times New Roman"/>
                <w:szCs w:val="32"/>
              </w:rPr>
              <w:t>月</w:t>
            </w:r>
            <w:r>
              <w:rPr>
                <w:rFonts w:hint="eastAsia" w:ascii="Times New Roman" w:hAnsi="Times New Roman" w:cs="Times New Roman"/>
                <w:szCs w:val="32"/>
                <w:lang w:val="en-US" w:eastAsia="zh-CN"/>
              </w:rPr>
              <w:t>14</w:t>
            </w:r>
            <w:r>
              <w:rPr>
                <w:rFonts w:hint="default" w:ascii="Times New Roman" w:hAnsi="Times New Roman" w:cs="Times New Roman"/>
                <w:szCs w:val="32"/>
              </w:rPr>
              <w:t>日印</w:t>
            </w:r>
            <w:r>
              <w:rPr>
                <w:rFonts w:hint="default" w:ascii="Times New Roman" w:hAnsi="Times New Roman" w:cs="Times New Roman"/>
                <w:szCs w:val="32"/>
                <w:lang w:eastAsia="zh-CN"/>
              </w:rPr>
              <w:t>发</w:t>
            </w:r>
          </w:p>
        </w:tc>
      </w:tr>
    </w:tbl>
    <w:p>
      <w:pPr>
        <w:rPr>
          <w:rFonts w:hint="default" w:ascii="Times New Roman" w:hAnsi="Times New Roman" w:cs="Times New Roman"/>
          <w:szCs w:val="32"/>
        </w:rPr>
      </w:pPr>
    </w:p>
    <w:sectPr>
      <w:pgSz w:w="11906" w:h="16838"/>
      <w:pgMar w:top="2098" w:right="1474" w:bottom="1985" w:left="1588" w:header="851" w:footer="992" w:gutter="0"/>
      <w:cols w:space="425" w:num="1"/>
      <w:docGrid w:type="linesAndChars" w:linePitch="57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063374"/>
      <w:docPartObj>
        <w:docPartGallery w:val="autotext"/>
      </w:docPartObj>
    </w:sdtPr>
    <w:sdtEndPr>
      <w:rPr>
        <w:rFonts w:ascii="Times New Roman" w:hAnsi="Times New Roman" w:cs="Times New Roman"/>
        <w:sz w:val="32"/>
        <w:szCs w:val="32"/>
      </w:rPr>
    </w:sdtEndPr>
    <w:sdtContent>
      <w:p>
        <w:pPr>
          <w:pStyle w:val="2"/>
          <w:ind w:right="270"/>
          <w:jc w:val="right"/>
          <w:rPr>
            <w:rFonts w:ascii="Times New Roman" w:hAnsi="Times New Roman" w:cs="Times New Roman"/>
            <w:sz w:val="32"/>
            <w:szCs w:val="32"/>
          </w:rPr>
        </w:pPr>
        <w:r>
          <w:rPr>
            <w:rFonts w:ascii="Times New Roman" w:hAnsi="Times New Roman" w:cs="Times New Roman"/>
            <w:sz w:val="24"/>
            <w:szCs w:val="24"/>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4"/>
            <w:szCs w:val="24"/>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2434608"/>
      <w:docPartObj>
        <w:docPartGallery w:val="autotext"/>
      </w:docPartObj>
    </w:sdtPr>
    <w:sdtEndPr>
      <w:rPr>
        <w:rFonts w:ascii="Times New Roman" w:hAnsi="Times New Roman" w:cs="Times New Roman"/>
        <w:sz w:val="28"/>
        <w:szCs w:val="28"/>
      </w:rPr>
    </w:sdtEndPr>
    <w:sdtContent>
      <w:p>
        <w:pPr>
          <w:pStyle w:val="2"/>
          <w:ind w:firstLine="14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A82E2"/>
    <w:multiLevelType w:val="singleLevel"/>
    <w:tmpl w:val="2D6A82E2"/>
    <w:lvl w:ilvl="0" w:tentative="0">
      <w:start w:val="1"/>
      <w:numFmt w:val="decimal"/>
      <w:lvlText w:val="%1."/>
      <w:lvlJc w:val="left"/>
      <w:pPr>
        <w:tabs>
          <w:tab w:val="left" w:pos="312"/>
        </w:tabs>
      </w:pPr>
    </w:lvl>
  </w:abstractNum>
  <w:abstractNum w:abstractNumId="1">
    <w:nsid w:val="519134FB"/>
    <w:multiLevelType w:val="singleLevel"/>
    <w:tmpl w:val="519134FB"/>
    <w:lvl w:ilvl="0" w:tentative="0">
      <w:start w:val="1"/>
      <w:numFmt w:val="decimal"/>
      <w:lvlText w:val="%1."/>
      <w:lvlJc w:val="left"/>
      <w:pPr>
        <w:tabs>
          <w:tab w:val="left" w:pos="312"/>
        </w:tabs>
      </w:pPr>
    </w:lvl>
  </w:abstractNum>
  <w:abstractNum w:abstractNumId="2">
    <w:nsid w:val="7869311E"/>
    <w:multiLevelType w:val="singleLevel"/>
    <w:tmpl w:val="7869311E"/>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attachedTemplate r:id="rId1"/>
  <w:documentProtection w:enforcement="0"/>
  <w:defaultTabStop w:val="420"/>
  <w:drawingGridHorizontalSpacing w:val="158"/>
  <w:drawingGridVerticalSpacing w:val="2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03651"/>
    <w:rsid w:val="001B1C19"/>
    <w:rsid w:val="005214BF"/>
    <w:rsid w:val="0059652F"/>
    <w:rsid w:val="006515CE"/>
    <w:rsid w:val="006906BC"/>
    <w:rsid w:val="006B1FEF"/>
    <w:rsid w:val="00700B18"/>
    <w:rsid w:val="008526C4"/>
    <w:rsid w:val="0092712A"/>
    <w:rsid w:val="00B926BB"/>
    <w:rsid w:val="00BD3DD8"/>
    <w:rsid w:val="00D11B9A"/>
    <w:rsid w:val="00D71B7C"/>
    <w:rsid w:val="00DF56AB"/>
    <w:rsid w:val="00E560F1"/>
    <w:rsid w:val="0E883895"/>
    <w:rsid w:val="14B53E06"/>
    <w:rsid w:val="24F74D2C"/>
    <w:rsid w:val="30C02827"/>
    <w:rsid w:val="31413564"/>
    <w:rsid w:val="43AE5FAD"/>
    <w:rsid w:val="50A23A49"/>
    <w:rsid w:val="68303651"/>
    <w:rsid w:val="68307F5F"/>
    <w:rsid w:val="6C790F96"/>
    <w:rsid w:val="723E49D3"/>
    <w:rsid w:val="74DB2DB0"/>
    <w:rsid w:val="7EDF32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rFonts w:ascii="Times New Roman" w:hAnsi="Times New Roman" w:eastAsia="宋体" w:cs="Times New Roman"/>
    </w:rPr>
  </w:style>
  <w:style w:type="character" w:customStyle="1" w:styleId="7">
    <w:name w:val="页眉 Char"/>
    <w:basedOn w:val="4"/>
    <w:link w:val="3"/>
    <w:uiPriority w:val="99"/>
    <w:rPr>
      <w:rFonts w:eastAsia="仿宋_GB2312"/>
      <w:sz w:val="18"/>
      <w:szCs w:val="18"/>
    </w:rPr>
  </w:style>
  <w:style w:type="character" w:customStyle="1" w:styleId="8">
    <w:name w:val="页脚 Char"/>
    <w:basedOn w:val="4"/>
    <w:link w:val="2"/>
    <w:qFormat/>
    <w:uiPriority w:val="99"/>
    <w:rPr>
      <w:rFonts w:eastAsia="仿宋_GB2312"/>
      <w:sz w:val="18"/>
      <w:szCs w:val="18"/>
    </w:rPr>
  </w:style>
  <w:style w:type="character" w:customStyle="1" w:styleId="9">
    <w:name w:val="font11"/>
    <w:basedOn w:val="4"/>
    <w:qFormat/>
    <w:uiPriority w:val="0"/>
    <w:rPr>
      <w:rFonts w:hint="eastAsia" w:ascii="宋体" w:hAnsi="宋体" w:eastAsia="宋体" w:cs="宋体"/>
      <w:color w:val="00B0F0"/>
      <w:sz w:val="22"/>
      <w:szCs w:val="22"/>
      <w:u w:val="none"/>
    </w:rPr>
  </w:style>
  <w:style w:type="character" w:customStyle="1" w:styleId="10">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1457;&#25991;\&#21457;&#25991;2022\&#27896;&#21439;&#24066;&#30417;&#26368;&#2603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chemeClr val="bg1"/>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泸县市监最新.dotx</Template>
  <Pages>24</Pages>
  <Words>6587</Words>
  <Characters>7179</Characters>
  <Lines>1</Lines>
  <Paragraphs>1</Paragraphs>
  <TotalTime>1</TotalTime>
  <ScaleCrop>false</ScaleCrop>
  <LinksUpToDate>false</LinksUpToDate>
  <CharactersWithSpaces>7269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2022-09-27T07:50:00Z</dcterms:created>
  <dc:creator>Administrator</dc:creator>
  <cp:lastModifiedBy>张永</cp:lastModifiedBy>
  <cp:lastPrinted>2022-11-14T03:33:00Z</cp:lastPrinted>
  <dcterms:modified xsi:type="dcterms:W3CDTF">2022-11-14T08:46:50Z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